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7A596A" w14:textId="77777777" w:rsidR="00C27B23" w:rsidRPr="0041405A" w:rsidRDefault="0048249A">
      <w:pPr>
        <w:pStyle w:val="Titolo"/>
        <w:pageBreakBefore/>
        <w:rPr>
          <w:rFonts w:ascii="Titillium" w:hAnsi="Titillium"/>
          <w:sz w:val="20"/>
          <w:szCs w:val="20"/>
        </w:rPr>
      </w:pPr>
      <w:r w:rsidRPr="0041405A">
        <w:rPr>
          <w:rFonts w:ascii="Titillium" w:hAnsi="Titillium"/>
          <w:sz w:val="20"/>
          <w:szCs w:val="20"/>
        </w:rPr>
        <w:t xml:space="preserve">Scheda di sintesi sulla rilevazione degli OIV o </w:t>
      </w:r>
      <w:r w:rsidR="009A5646" w:rsidRPr="0041405A">
        <w:rPr>
          <w:rFonts w:ascii="Titillium" w:hAnsi="Titillium"/>
          <w:sz w:val="20"/>
          <w:szCs w:val="20"/>
        </w:rPr>
        <w:t>organismi con funzioni analoghe</w:t>
      </w:r>
    </w:p>
    <w:p w14:paraId="3CC5007D" w14:textId="77777777" w:rsidR="00C27B23" w:rsidRPr="0041405A" w:rsidRDefault="00C27B23">
      <w:pPr>
        <w:pStyle w:val="Paragrafoelenco"/>
        <w:ind w:left="0" w:firstLine="0"/>
        <w:rPr>
          <w:rFonts w:ascii="Titillium" w:hAnsi="Titillium"/>
          <w:sz w:val="20"/>
          <w:szCs w:val="20"/>
        </w:rPr>
      </w:pPr>
    </w:p>
    <w:p w14:paraId="6CB0921A" w14:textId="77777777" w:rsidR="00C27B23" w:rsidRPr="0041405A" w:rsidRDefault="0048249A">
      <w:pPr>
        <w:pStyle w:val="Paragrafoelenco"/>
        <w:spacing w:line="360" w:lineRule="auto"/>
        <w:ind w:left="0" w:firstLine="0"/>
        <w:rPr>
          <w:rFonts w:ascii="Titillium" w:hAnsi="Titillium"/>
          <w:b/>
          <w:i/>
          <w:sz w:val="20"/>
          <w:szCs w:val="20"/>
        </w:rPr>
      </w:pPr>
      <w:r w:rsidRPr="0041405A">
        <w:rPr>
          <w:rFonts w:ascii="Titillium" w:hAnsi="Titillium"/>
          <w:b/>
          <w:i/>
          <w:sz w:val="20"/>
          <w:szCs w:val="20"/>
        </w:rPr>
        <w:t>Data di svolgimento della rilevazione</w:t>
      </w:r>
    </w:p>
    <w:p w14:paraId="4CE1CF5A" w14:textId="77777777" w:rsidR="00FF31C6" w:rsidRPr="0041405A" w:rsidRDefault="00C6389E">
      <w:pPr>
        <w:pStyle w:val="Paragrafoelenco"/>
        <w:spacing w:line="276" w:lineRule="auto"/>
        <w:ind w:left="0" w:firstLine="0"/>
        <w:rPr>
          <w:rFonts w:ascii="Titillium" w:hAnsi="Titillium"/>
          <w:sz w:val="20"/>
          <w:szCs w:val="20"/>
          <w:u w:val="single"/>
        </w:rPr>
      </w:pPr>
      <w:r>
        <w:rPr>
          <w:rFonts w:ascii="Titillium" w:hAnsi="Titillium"/>
          <w:sz w:val="20"/>
          <w:szCs w:val="20"/>
        </w:rPr>
        <w:t>16</w:t>
      </w:r>
      <w:r w:rsidR="00AE0382">
        <w:rPr>
          <w:rFonts w:ascii="Titillium" w:hAnsi="Titillium"/>
          <w:sz w:val="20"/>
          <w:szCs w:val="20"/>
        </w:rPr>
        <w:t>/05/202</w:t>
      </w:r>
      <w:r w:rsidR="005F092A">
        <w:rPr>
          <w:rFonts w:ascii="Titillium" w:hAnsi="Titillium"/>
          <w:sz w:val="20"/>
          <w:szCs w:val="20"/>
        </w:rPr>
        <w:t>2</w:t>
      </w:r>
      <w:r w:rsidR="00AE0382">
        <w:rPr>
          <w:rFonts w:ascii="Titillium" w:hAnsi="Titillium"/>
          <w:sz w:val="20"/>
          <w:szCs w:val="20"/>
        </w:rPr>
        <w:t xml:space="preserve"> - </w:t>
      </w:r>
      <w:r w:rsidR="00FF31C6">
        <w:rPr>
          <w:rFonts w:ascii="Titillium" w:hAnsi="Titillium"/>
          <w:sz w:val="20"/>
          <w:szCs w:val="20"/>
        </w:rPr>
        <w:t>0</w:t>
      </w:r>
      <w:r w:rsidR="005F092A">
        <w:rPr>
          <w:rFonts w:ascii="Titillium" w:hAnsi="Titillium"/>
          <w:sz w:val="20"/>
          <w:szCs w:val="20"/>
        </w:rPr>
        <w:t>8</w:t>
      </w:r>
      <w:r w:rsidR="00FF31C6">
        <w:rPr>
          <w:rFonts w:ascii="Titillium" w:hAnsi="Titillium"/>
          <w:sz w:val="20"/>
          <w:szCs w:val="20"/>
        </w:rPr>
        <w:t>/06/202</w:t>
      </w:r>
      <w:r>
        <w:rPr>
          <w:rFonts w:ascii="Titillium" w:hAnsi="Titillium"/>
          <w:sz w:val="20"/>
          <w:szCs w:val="20"/>
        </w:rPr>
        <w:t>2</w:t>
      </w:r>
    </w:p>
    <w:p w14:paraId="0DDC9CB8" w14:textId="77777777" w:rsidR="00C27B23" w:rsidRPr="0041405A" w:rsidRDefault="00C27B23">
      <w:pPr>
        <w:pStyle w:val="Paragrafoelenco"/>
        <w:spacing w:line="276" w:lineRule="auto"/>
        <w:ind w:left="0" w:firstLine="0"/>
        <w:rPr>
          <w:rFonts w:ascii="Titillium" w:hAnsi="Titillium"/>
          <w:sz w:val="20"/>
          <w:szCs w:val="20"/>
        </w:rPr>
      </w:pPr>
    </w:p>
    <w:p w14:paraId="6374FD55" w14:textId="77777777" w:rsidR="00C27B23" w:rsidRPr="0041405A" w:rsidRDefault="0048249A">
      <w:pPr>
        <w:pStyle w:val="Paragrafoelenco"/>
        <w:spacing w:after="0"/>
        <w:ind w:left="0" w:firstLine="0"/>
        <w:rPr>
          <w:rFonts w:ascii="Titillium" w:hAnsi="Titillium"/>
          <w:b/>
          <w:i/>
          <w:sz w:val="20"/>
          <w:szCs w:val="20"/>
        </w:rPr>
      </w:pPr>
      <w:r w:rsidRPr="0041405A">
        <w:rPr>
          <w:rFonts w:ascii="Titillium" w:hAnsi="Titillium"/>
          <w:b/>
          <w:i/>
          <w:sz w:val="20"/>
          <w:szCs w:val="20"/>
        </w:rPr>
        <w:t xml:space="preserve">Estensione della rilevazione (nel </w:t>
      </w:r>
      <w:r w:rsidR="00FC7906" w:rsidRPr="0041405A">
        <w:rPr>
          <w:rFonts w:ascii="Titillium" w:hAnsi="Titillium"/>
          <w:b/>
          <w:i/>
          <w:sz w:val="20"/>
          <w:szCs w:val="20"/>
        </w:rPr>
        <w:t xml:space="preserve">solo </w:t>
      </w:r>
      <w:r w:rsidRPr="0041405A">
        <w:rPr>
          <w:rFonts w:ascii="Titillium" w:hAnsi="Titillium"/>
          <w:b/>
          <w:i/>
          <w:sz w:val="20"/>
          <w:szCs w:val="20"/>
        </w:rPr>
        <w:t>caso di ammin</w:t>
      </w:r>
      <w:r w:rsidR="007A107C" w:rsidRPr="0041405A">
        <w:rPr>
          <w:rFonts w:ascii="Titillium" w:hAnsi="Titillium"/>
          <w:b/>
          <w:i/>
          <w:sz w:val="20"/>
          <w:szCs w:val="20"/>
        </w:rPr>
        <w:t>istrazioni</w:t>
      </w:r>
      <w:r w:rsidR="00FC7906" w:rsidRPr="0041405A">
        <w:rPr>
          <w:rFonts w:ascii="Titillium" w:hAnsi="Titillium"/>
          <w:b/>
          <w:i/>
          <w:sz w:val="20"/>
          <w:szCs w:val="20"/>
        </w:rPr>
        <w:t>/enti</w:t>
      </w:r>
      <w:r w:rsidR="007A107C" w:rsidRPr="0041405A">
        <w:rPr>
          <w:rFonts w:ascii="Titillium" w:hAnsi="Titillium"/>
          <w:b/>
          <w:i/>
          <w:sz w:val="20"/>
          <w:szCs w:val="20"/>
        </w:rPr>
        <w:t xml:space="preserve"> con uffici periferici)</w:t>
      </w:r>
    </w:p>
    <w:p w14:paraId="1A279274" w14:textId="77777777" w:rsidR="00C27B23" w:rsidRPr="0041405A" w:rsidRDefault="00C27B23">
      <w:pPr>
        <w:pStyle w:val="Paragrafoelenco"/>
        <w:spacing w:after="0"/>
        <w:ind w:left="0" w:firstLine="0"/>
        <w:rPr>
          <w:rFonts w:ascii="Titillium" w:hAnsi="Titillium"/>
          <w:b/>
          <w:sz w:val="20"/>
          <w:szCs w:val="20"/>
          <w:u w:val="single"/>
        </w:rPr>
      </w:pPr>
    </w:p>
    <w:p w14:paraId="7B2A272E" w14:textId="77777777" w:rsidR="00C27B23" w:rsidRDefault="00294922" w:rsidP="00294922">
      <w:pPr>
        <w:spacing w:after="0" w:line="276" w:lineRule="auto"/>
        <w:rPr>
          <w:rFonts w:ascii="Titillium" w:eastAsia="Calibri" w:hAnsi="Titillium" w:cs="Times New Roman"/>
          <w:color w:val="000000"/>
          <w:sz w:val="20"/>
          <w:szCs w:val="20"/>
          <w:lang w:eastAsia="en-US"/>
        </w:rPr>
      </w:pPr>
      <w:r w:rsidRPr="00294922">
        <w:rPr>
          <w:rFonts w:ascii="Titillium" w:eastAsia="Calibri" w:hAnsi="Titillium" w:cs="Times New Roman"/>
          <w:color w:val="000000"/>
          <w:sz w:val="20"/>
          <w:szCs w:val="20"/>
          <w:lang w:eastAsia="en-US"/>
        </w:rPr>
        <w:t xml:space="preserve">Amministrazione priva di Uffici Periferici. Non </w:t>
      </w:r>
      <w:r w:rsidRPr="00C73547">
        <w:rPr>
          <w:rFonts w:ascii="Titillium" w:eastAsia="Calibri" w:hAnsi="Titillium" w:cs="Times New Roman"/>
          <w:b/>
          <w:color w:val="000000"/>
          <w:sz w:val="20"/>
          <w:szCs w:val="20"/>
          <w:lang w:eastAsia="en-US"/>
        </w:rPr>
        <w:t>applicabile</w:t>
      </w:r>
    </w:p>
    <w:p w14:paraId="1B2E1503" w14:textId="77777777" w:rsidR="00294922" w:rsidRPr="00294922" w:rsidRDefault="00294922" w:rsidP="00294922">
      <w:pPr>
        <w:spacing w:after="0" w:line="276" w:lineRule="auto"/>
        <w:rPr>
          <w:rFonts w:ascii="Titillium" w:eastAsia="Calibri" w:hAnsi="Titillium" w:cs="Times New Roman"/>
          <w:color w:val="000000"/>
          <w:sz w:val="20"/>
          <w:szCs w:val="20"/>
          <w:lang w:eastAsia="en-US"/>
        </w:rPr>
      </w:pPr>
    </w:p>
    <w:p w14:paraId="51E8CCF6" w14:textId="77777777" w:rsidR="00294922" w:rsidRPr="00294922" w:rsidRDefault="00294922" w:rsidP="00294922">
      <w:pPr>
        <w:spacing w:after="0" w:line="276" w:lineRule="auto"/>
        <w:rPr>
          <w:rFonts w:ascii="Titillium" w:hAnsi="Titillium"/>
          <w:sz w:val="20"/>
          <w:szCs w:val="20"/>
        </w:rPr>
      </w:pPr>
    </w:p>
    <w:p w14:paraId="6B0BCE09" w14:textId="77777777" w:rsidR="00C27B23" w:rsidRPr="0041405A" w:rsidRDefault="0048249A">
      <w:pPr>
        <w:pStyle w:val="Paragrafoelenco"/>
        <w:spacing w:line="360" w:lineRule="auto"/>
        <w:ind w:left="0" w:firstLine="0"/>
        <w:rPr>
          <w:rFonts w:ascii="Titillium" w:hAnsi="Titillium"/>
          <w:b/>
          <w:i/>
          <w:sz w:val="20"/>
          <w:szCs w:val="20"/>
        </w:rPr>
      </w:pPr>
      <w:r w:rsidRPr="0041405A">
        <w:rPr>
          <w:rFonts w:ascii="Titillium" w:hAnsi="Titillium"/>
          <w:b/>
          <w:i/>
          <w:sz w:val="20"/>
          <w:szCs w:val="20"/>
        </w:rPr>
        <w:t xml:space="preserve">Procedure e modalità seguite per la rilevazione </w:t>
      </w:r>
    </w:p>
    <w:p w14:paraId="3EEC12DA" w14:textId="77777777" w:rsidR="00FF31C6" w:rsidRPr="00FF31C6" w:rsidRDefault="00FF31C6" w:rsidP="00FF31C6">
      <w:pPr>
        <w:pStyle w:val="Default"/>
        <w:tabs>
          <w:tab w:val="left" w:pos="0"/>
        </w:tabs>
        <w:spacing w:line="360" w:lineRule="auto"/>
        <w:jc w:val="both"/>
        <w:rPr>
          <w:rFonts w:ascii="Titillium" w:hAnsi="Titillium"/>
          <w:sz w:val="20"/>
          <w:szCs w:val="20"/>
        </w:rPr>
      </w:pPr>
      <w:r w:rsidRPr="00FF31C6">
        <w:rPr>
          <w:rFonts w:ascii="Titillium" w:hAnsi="Titillium"/>
          <w:sz w:val="20"/>
          <w:szCs w:val="20"/>
        </w:rPr>
        <w:t>La rilevazione è stata compiuta</w:t>
      </w:r>
      <w:r>
        <w:rPr>
          <w:rFonts w:ascii="Titillium" w:hAnsi="Titillium"/>
          <w:sz w:val="20"/>
          <w:szCs w:val="20"/>
        </w:rPr>
        <w:t xml:space="preserve"> tramite </w:t>
      </w:r>
      <w:r w:rsidR="00351979">
        <w:rPr>
          <w:rFonts w:ascii="Titillium" w:hAnsi="Titillium"/>
          <w:sz w:val="20"/>
          <w:szCs w:val="20"/>
        </w:rPr>
        <w:t xml:space="preserve">colloqui con </w:t>
      </w:r>
      <w:r w:rsidR="0007476E">
        <w:rPr>
          <w:rFonts w:ascii="Titillium" w:hAnsi="Titillium"/>
          <w:sz w:val="20"/>
          <w:szCs w:val="20"/>
        </w:rPr>
        <w:t>l’Ufficio Anticorruzione e Trasparenza</w:t>
      </w:r>
      <w:r w:rsidR="00351979">
        <w:rPr>
          <w:rFonts w:ascii="Titillium" w:hAnsi="Titillium"/>
          <w:sz w:val="20"/>
          <w:szCs w:val="20"/>
        </w:rPr>
        <w:t>,</w:t>
      </w:r>
      <w:r w:rsidR="00351979" w:rsidRPr="00FF31C6">
        <w:rPr>
          <w:rFonts w:ascii="Titillium" w:hAnsi="Titillium"/>
          <w:i/>
          <w:iCs/>
          <w:sz w:val="20"/>
          <w:szCs w:val="20"/>
        </w:rPr>
        <w:t xml:space="preserve"> </w:t>
      </w:r>
      <w:r>
        <w:rPr>
          <w:rFonts w:ascii="Titillium" w:hAnsi="Titillium"/>
          <w:sz w:val="20"/>
          <w:szCs w:val="20"/>
        </w:rPr>
        <w:t>autovalutazion</w:t>
      </w:r>
      <w:r w:rsidR="00D8171C">
        <w:rPr>
          <w:rFonts w:ascii="Titillium" w:hAnsi="Titillium"/>
          <w:sz w:val="20"/>
          <w:szCs w:val="20"/>
        </w:rPr>
        <w:t>e</w:t>
      </w:r>
      <w:r>
        <w:rPr>
          <w:rFonts w:ascii="Titillium" w:hAnsi="Titillium"/>
          <w:sz w:val="20"/>
          <w:szCs w:val="20"/>
        </w:rPr>
        <w:t xml:space="preserve"> dei Dipartimenti </w:t>
      </w:r>
      <w:r w:rsidR="00AE0382">
        <w:rPr>
          <w:rFonts w:ascii="Titillium" w:hAnsi="Titillium"/>
          <w:sz w:val="20"/>
          <w:szCs w:val="20"/>
        </w:rPr>
        <w:t xml:space="preserve">e </w:t>
      </w:r>
      <w:r w:rsidRPr="0041405A">
        <w:rPr>
          <w:rFonts w:ascii="Titillium" w:hAnsi="Titillium"/>
          <w:sz w:val="20"/>
          <w:szCs w:val="20"/>
        </w:rPr>
        <w:t xml:space="preserve">verifica </w:t>
      </w:r>
      <w:r w:rsidRPr="00FF31C6">
        <w:rPr>
          <w:rFonts w:ascii="Titillium" w:hAnsi="Titillium"/>
          <w:sz w:val="20"/>
          <w:szCs w:val="20"/>
        </w:rPr>
        <w:t>diretta sul sito istituzionale.</w:t>
      </w:r>
      <w:r w:rsidR="00D8171C">
        <w:rPr>
          <w:rFonts w:ascii="Titillium" w:hAnsi="Titillium"/>
          <w:sz w:val="20"/>
          <w:szCs w:val="20"/>
        </w:rPr>
        <w:t xml:space="preserve"> </w:t>
      </w:r>
      <w:r w:rsidR="00560A68">
        <w:rPr>
          <w:rFonts w:ascii="Titillium" w:hAnsi="Titillium"/>
          <w:sz w:val="20"/>
          <w:szCs w:val="20"/>
        </w:rPr>
        <w:t xml:space="preserve">I colloqui con </w:t>
      </w:r>
      <w:r w:rsidR="0007476E">
        <w:rPr>
          <w:rFonts w:ascii="Titillium" w:hAnsi="Titillium"/>
          <w:sz w:val="20"/>
          <w:szCs w:val="20"/>
        </w:rPr>
        <w:t>l’Ufficio Anticorruzione e Trasparenza</w:t>
      </w:r>
      <w:r w:rsidR="00560A68">
        <w:rPr>
          <w:rFonts w:ascii="Titillium" w:hAnsi="Titillium"/>
          <w:sz w:val="20"/>
          <w:szCs w:val="20"/>
        </w:rPr>
        <w:t xml:space="preserve"> </w:t>
      </w:r>
      <w:r w:rsidR="00D0615F">
        <w:rPr>
          <w:rFonts w:ascii="Titillium" w:hAnsi="Titillium"/>
          <w:sz w:val="20"/>
          <w:szCs w:val="20"/>
        </w:rPr>
        <w:t>sono</w:t>
      </w:r>
      <w:r w:rsidR="00560A68">
        <w:rPr>
          <w:rFonts w:ascii="Titillium" w:hAnsi="Titillium"/>
          <w:sz w:val="20"/>
          <w:szCs w:val="20"/>
        </w:rPr>
        <w:t xml:space="preserve"> avvenut</w:t>
      </w:r>
      <w:r w:rsidR="00D0615F">
        <w:rPr>
          <w:rFonts w:ascii="Titillium" w:hAnsi="Titillium"/>
          <w:sz w:val="20"/>
          <w:szCs w:val="20"/>
        </w:rPr>
        <w:t>i</w:t>
      </w:r>
      <w:r w:rsidR="00560A68">
        <w:rPr>
          <w:rFonts w:ascii="Titillium" w:hAnsi="Titillium"/>
          <w:sz w:val="20"/>
          <w:szCs w:val="20"/>
        </w:rPr>
        <w:t xml:space="preserve"> in data </w:t>
      </w:r>
      <w:r w:rsidR="00C6389E">
        <w:rPr>
          <w:rFonts w:ascii="Titillium" w:hAnsi="Titillium"/>
          <w:sz w:val="20"/>
          <w:szCs w:val="20"/>
        </w:rPr>
        <w:t>16</w:t>
      </w:r>
      <w:r w:rsidR="00560A68">
        <w:rPr>
          <w:rFonts w:ascii="Titillium" w:hAnsi="Titillium"/>
          <w:sz w:val="20"/>
          <w:szCs w:val="20"/>
        </w:rPr>
        <w:t>/05/202</w:t>
      </w:r>
      <w:r w:rsidR="00C6389E">
        <w:rPr>
          <w:rFonts w:ascii="Titillium" w:hAnsi="Titillium"/>
          <w:sz w:val="20"/>
          <w:szCs w:val="20"/>
        </w:rPr>
        <w:t>2</w:t>
      </w:r>
      <w:r w:rsidR="00D0615F">
        <w:rPr>
          <w:rFonts w:ascii="Titillium" w:hAnsi="Titillium"/>
          <w:sz w:val="20"/>
          <w:szCs w:val="20"/>
        </w:rPr>
        <w:t xml:space="preserve"> e</w:t>
      </w:r>
      <w:r w:rsidR="00C73547">
        <w:rPr>
          <w:rFonts w:ascii="Titillium" w:hAnsi="Titillium"/>
          <w:sz w:val="20"/>
          <w:szCs w:val="20"/>
        </w:rPr>
        <w:t xml:space="preserve"> per scambio posta</w:t>
      </w:r>
      <w:r w:rsidR="00C6389E">
        <w:rPr>
          <w:rFonts w:ascii="Titillium" w:hAnsi="Titillium"/>
          <w:sz w:val="20"/>
          <w:szCs w:val="20"/>
        </w:rPr>
        <w:t xml:space="preserve"> elettronica</w:t>
      </w:r>
      <w:r w:rsidR="00C73547">
        <w:rPr>
          <w:rFonts w:ascii="Titillium" w:hAnsi="Titillium"/>
          <w:sz w:val="20"/>
          <w:szCs w:val="20"/>
        </w:rPr>
        <w:t xml:space="preserve"> in data</w:t>
      </w:r>
      <w:r w:rsidR="00D0615F">
        <w:rPr>
          <w:rFonts w:ascii="Titillium" w:hAnsi="Titillium"/>
          <w:sz w:val="20"/>
          <w:szCs w:val="20"/>
        </w:rPr>
        <w:t xml:space="preserve"> 2</w:t>
      </w:r>
      <w:r w:rsidR="00C73547">
        <w:rPr>
          <w:rFonts w:ascii="Titillium" w:hAnsi="Titillium"/>
          <w:sz w:val="20"/>
          <w:szCs w:val="20"/>
        </w:rPr>
        <w:t>3</w:t>
      </w:r>
      <w:r w:rsidR="00D0615F">
        <w:rPr>
          <w:rFonts w:ascii="Titillium" w:hAnsi="Titillium"/>
          <w:sz w:val="20"/>
          <w:szCs w:val="20"/>
        </w:rPr>
        <w:t>/05/202</w:t>
      </w:r>
      <w:r w:rsidR="00C73547">
        <w:rPr>
          <w:rFonts w:ascii="Titillium" w:hAnsi="Titillium"/>
          <w:sz w:val="20"/>
          <w:szCs w:val="20"/>
        </w:rPr>
        <w:t>2 e 30</w:t>
      </w:r>
      <w:r w:rsidR="00C6389E">
        <w:rPr>
          <w:rFonts w:ascii="Titillium" w:hAnsi="Titillium"/>
          <w:sz w:val="20"/>
          <w:szCs w:val="20"/>
        </w:rPr>
        <w:t xml:space="preserve"> e 31 maggio</w:t>
      </w:r>
      <w:r w:rsidR="00560A68">
        <w:rPr>
          <w:rFonts w:ascii="Titillium" w:hAnsi="Titillium"/>
          <w:sz w:val="20"/>
          <w:szCs w:val="20"/>
        </w:rPr>
        <w:t xml:space="preserve">. </w:t>
      </w:r>
      <w:r w:rsidR="00AE0382">
        <w:rPr>
          <w:rFonts w:ascii="Titillium" w:hAnsi="Titillium"/>
          <w:sz w:val="20"/>
          <w:szCs w:val="20"/>
        </w:rPr>
        <w:t xml:space="preserve">I componenti dell’OIV, prima separatamente e poi collegialmente, hanno preso visione della documentazione fornita dall’Ente </w:t>
      </w:r>
      <w:r w:rsidR="001B54F0">
        <w:rPr>
          <w:rFonts w:ascii="Titillium" w:hAnsi="Titillium"/>
          <w:sz w:val="20"/>
          <w:szCs w:val="20"/>
        </w:rPr>
        <w:t>e</w:t>
      </w:r>
      <w:r w:rsidR="00294922">
        <w:rPr>
          <w:rFonts w:ascii="Titillium" w:hAnsi="Titillium"/>
          <w:sz w:val="20"/>
          <w:szCs w:val="20"/>
        </w:rPr>
        <w:t>d</w:t>
      </w:r>
      <w:r w:rsidR="001B54F0">
        <w:rPr>
          <w:rFonts w:ascii="Titillium" w:hAnsi="Titillium"/>
          <w:sz w:val="20"/>
          <w:szCs w:val="20"/>
        </w:rPr>
        <w:t xml:space="preserve"> in data 0</w:t>
      </w:r>
      <w:r w:rsidR="004707EA">
        <w:rPr>
          <w:rFonts w:ascii="Titillium" w:hAnsi="Titillium"/>
          <w:sz w:val="20"/>
          <w:szCs w:val="20"/>
        </w:rPr>
        <w:t>8</w:t>
      </w:r>
      <w:r w:rsidR="001B54F0">
        <w:rPr>
          <w:rFonts w:ascii="Titillium" w:hAnsi="Titillium"/>
          <w:sz w:val="20"/>
          <w:szCs w:val="20"/>
        </w:rPr>
        <w:t>/06/202</w:t>
      </w:r>
      <w:r w:rsidR="004707EA">
        <w:rPr>
          <w:rFonts w:ascii="Titillium" w:hAnsi="Titillium"/>
          <w:sz w:val="20"/>
          <w:szCs w:val="20"/>
        </w:rPr>
        <w:t>8</w:t>
      </w:r>
      <w:r w:rsidR="001B54F0">
        <w:rPr>
          <w:rFonts w:ascii="Titillium" w:hAnsi="Titillium"/>
          <w:sz w:val="20"/>
          <w:szCs w:val="20"/>
        </w:rPr>
        <w:t xml:space="preserve"> hanno </w:t>
      </w:r>
      <w:r w:rsidR="004707EA">
        <w:rPr>
          <w:rFonts w:ascii="Titillium" w:hAnsi="Titillium"/>
          <w:sz w:val="20"/>
          <w:szCs w:val="20"/>
        </w:rPr>
        <w:t xml:space="preserve">concluso le verifiche e la compilazione </w:t>
      </w:r>
      <w:proofErr w:type="gramStart"/>
      <w:r w:rsidR="004707EA">
        <w:rPr>
          <w:rFonts w:ascii="Titillium" w:hAnsi="Titillium"/>
          <w:sz w:val="20"/>
          <w:szCs w:val="20"/>
        </w:rPr>
        <w:t>delle griglia</w:t>
      </w:r>
      <w:proofErr w:type="gramEnd"/>
      <w:r w:rsidR="004707EA">
        <w:rPr>
          <w:rFonts w:ascii="Titillium" w:hAnsi="Titillium"/>
          <w:sz w:val="20"/>
          <w:szCs w:val="20"/>
        </w:rPr>
        <w:t>.</w:t>
      </w:r>
      <w:r w:rsidR="001B54F0">
        <w:rPr>
          <w:rFonts w:ascii="Titillium" w:hAnsi="Titillium"/>
          <w:sz w:val="20"/>
          <w:szCs w:val="20"/>
        </w:rPr>
        <w:t xml:space="preserve"> </w:t>
      </w:r>
    </w:p>
    <w:p w14:paraId="019BF81C" w14:textId="77777777" w:rsidR="00FF31C6" w:rsidRPr="00FF31C6" w:rsidRDefault="00FF31C6">
      <w:pPr>
        <w:spacing w:line="360" w:lineRule="auto"/>
        <w:rPr>
          <w:rFonts w:ascii="Titillium" w:hAnsi="Titillium"/>
          <w:sz w:val="20"/>
          <w:szCs w:val="20"/>
        </w:rPr>
      </w:pPr>
    </w:p>
    <w:p w14:paraId="578A0584" w14:textId="77777777" w:rsidR="00C27B23" w:rsidRPr="0041405A" w:rsidRDefault="0048249A">
      <w:pPr>
        <w:spacing w:line="360" w:lineRule="auto"/>
        <w:rPr>
          <w:rFonts w:ascii="Titillium" w:hAnsi="Titillium"/>
          <w:b/>
          <w:i/>
          <w:sz w:val="20"/>
          <w:szCs w:val="20"/>
        </w:rPr>
      </w:pPr>
      <w:r w:rsidRPr="0041405A">
        <w:rPr>
          <w:rFonts w:ascii="Titillium" w:hAnsi="Titillium"/>
          <w:b/>
          <w:i/>
          <w:sz w:val="20"/>
          <w:szCs w:val="20"/>
        </w:rPr>
        <w:t>Aspetti critici riscontrati nel corso della rilevazione</w:t>
      </w:r>
    </w:p>
    <w:p w14:paraId="65026D66" w14:textId="77777777" w:rsidR="00E858B6" w:rsidRPr="001B54F0" w:rsidRDefault="001B54F0">
      <w:pPr>
        <w:spacing w:line="360" w:lineRule="auto"/>
        <w:rPr>
          <w:rFonts w:ascii="Titillium" w:eastAsia="Calibri" w:hAnsi="Titillium" w:cs="Times New Roman"/>
          <w:color w:val="000000"/>
          <w:sz w:val="20"/>
          <w:szCs w:val="20"/>
          <w:lang w:eastAsia="en-US"/>
        </w:rPr>
      </w:pPr>
      <w:r w:rsidRPr="001B54F0">
        <w:rPr>
          <w:rFonts w:ascii="Titillium" w:eastAsia="Calibri" w:hAnsi="Titillium" w:cs="Times New Roman"/>
          <w:color w:val="000000"/>
          <w:sz w:val="20"/>
          <w:szCs w:val="20"/>
          <w:lang w:eastAsia="en-US"/>
        </w:rPr>
        <w:t>La rile</w:t>
      </w:r>
      <w:r>
        <w:rPr>
          <w:rFonts w:ascii="Titillium" w:eastAsia="Calibri" w:hAnsi="Titillium" w:cs="Times New Roman"/>
          <w:color w:val="000000"/>
          <w:sz w:val="20"/>
          <w:szCs w:val="20"/>
          <w:lang w:eastAsia="en-US"/>
        </w:rPr>
        <w:t>vazione</w:t>
      </w:r>
      <w:r w:rsidR="00F34F98">
        <w:rPr>
          <w:rFonts w:ascii="Titillium" w:eastAsia="Calibri" w:hAnsi="Titillium" w:cs="Times New Roman"/>
          <w:color w:val="000000"/>
          <w:sz w:val="20"/>
          <w:szCs w:val="20"/>
          <w:lang w:eastAsia="en-US"/>
        </w:rPr>
        <w:t xml:space="preserve"> ha dato riscontro molto positivo</w:t>
      </w:r>
      <w:r w:rsidR="00E858B6">
        <w:rPr>
          <w:rFonts w:ascii="Titillium" w:eastAsia="Calibri" w:hAnsi="Titillium" w:cs="Times New Roman"/>
          <w:color w:val="000000"/>
          <w:sz w:val="20"/>
          <w:szCs w:val="20"/>
          <w:lang w:eastAsia="en-US"/>
        </w:rPr>
        <w:t xml:space="preserve">: la </w:t>
      </w:r>
      <w:r w:rsidR="004707EA">
        <w:rPr>
          <w:rFonts w:ascii="Titillium" w:eastAsia="Calibri" w:hAnsi="Titillium" w:cs="Times New Roman"/>
          <w:color w:val="000000"/>
          <w:sz w:val="20"/>
          <w:szCs w:val="20"/>
          <w:lang w:eastAsia="en-US"/>
        </w:rPr>
        <w:t>quasi totalità</w:t>
      </w:r>
      <w:r w:rsidR="00E858B6">
        <w:rPr>
          <w:rFonts w:ascii="Titillium" w:eastAsia="Calibri" w:hAnsi="Titillium" w:cs="Times New Roman"/>
          <w:color w:val="000000"/>
          <w:sz w:val="20"/>
          <w:szCs w:val="20"/>
          <w:lang w:eastAsia="en-US"/>
        </w:rPr>
        <w:t xml:space="preserve"> degli item sono stati raggiunti con punteggio pieno. </w:t>
      </w:r>
    </w:p>
    <w:p w14:paraId="292BBC32" w14:textId="77777777" w:rsidR="00294922" w:rsidRDefault="00294922">
      <w:pPr>
        <w:spacing w:line="360" w:lineRule="auto"/>
        <w:rPr>
          <w:rFonts w:ascii="Titillium" w:hAnsi="Titillium"/>
          <w:b/>
          <w:i/>
          <w:sz w:val="20"/>
          <w:szCs w:val="20"/>
        </w:rPr>
      </w:pPr>
    </w:p>
    <w:p w14:paraId="0DDF9159" w14:textId="77777777" w:rsidR="00C27B23" w:rsidRDefault="0048249A">
      <w:pPr>
        <w:spacing w:line="360" w:lineRule="auto"/>
        <w:rPr>
          <w:rFonts w:ascii="Titillium" w:hAnsi="Titillium"/>
          <w:b/>
          <w:i/>
          <w:sz w:val="20"/>
          <w:szCs w:val="20"/>
        </w:rPr>
      </w:pPr>
      <w:r w:rsidRPr="0041405A">
        <w:rPr>
          <w:rFonts w:ascii="Titillium" w:hAnsi="Titillium"/>
          <w:b/>
          <w:i/>
          <w:sz w:val="20"/>
          <w:szCs w:val="20"/>
        </w:rPr>
        <w:t>Eventuale documentazione da allegare</w:t>
      </w:r>
    </w:p>
    <w:p w14:paraId="478CB58D" w14:textId="67BDB3E1" w:rsidR="00A65F1E" w:rsidRDefault="00294922">
      <w:pPr>
        <w:spacing w:line="360" w:lineRule="auto"/>
        <w:rPr>
          <w:rFonts w:ascii="Titillium" w:eastAsia="Calibri" w:hAnsi="Titillium" w:cs="Times New Roman"/>
          <w:color w:val="000000"/>
          <w:sz w:val="20"/>
          <w:szCs w:val="20"/>
          <w:lang w:eastAsia="en-US"/>
        </w:rPr>
      </w:pPr>
      <w:r>
        <w:rPr>
          <w:rFonts w:ascii="Titillium" w:eastAsia="Calibri" w:hAnsi="Titillium" w:cs="Times New Roman"/>
          <w:color w:val="000000"/>
          <w:sz w:val="20"/>
          <w:szCs w:val="20"/>
          <w:lang w:eastAsia="en-US"/>
        </w:rPr>
        <w:t>N</w:t>
      </w:r>
      <w:r w:rsidR="00E858B6" w:rsidRPr="00E858B6">
        <w:rPr>
          <w:rFonts w:ascii="Titillium" w:eastAsia="Calibri" w:hAnsi="Titillium" w:cs="Times New Roman"/>
          <w:color w:val="000000"/>
          <w:sz w:val="20"/>
          <w:szCs w:val="20"/>
          <w:lang w:eastAsia="en-US"/>
        </w:rPr>
        <w:t>essuna</w:t>
      </w:r>
    </w:p>
    <w:p w14:paraId="1287319C" w14:textId="77777777" w:rsidR="00A65F1E" w:rsidRPr="00C5488A" w:rsidRDefault="00A65F1E" w:rsidP="00A65F1E">
      <w:pPr>
        <w:spacing w:before="120" w:line="276" w:lineRule="auto"/>
        <w:rPr>
          <w:rFonts w:ascii="Titillium" w:hAnsi="Titillium" w:cs="Times New Roman"/>
          <w:sz w:val="20"/>
          <w:szCs w:val="20"/>
        </w:rPr>
      </w:pPr>
      <w:r>
        <w:rPr>
          <w:rFonts w:ascii="Titillium" w:hAnsi="Titillium" w:cs="Times New Roman"/>
          <w:sz w:val="20"/>
          <w:szCs w:val="20"/>
        </w:rPr>
        <w:t>08/06/22</w:t>
      </w:r>
    </w:p>
    <w:p w14:paraId="6786F72D" w14:textId="77777777" w:rsidR="00A65F1E" w:rsidRPr="00C5488A" w:rsidRDefault="00A65F1E" w:rsidP="00A65F1E">
      <w:pPr>
        <w:spacing w:before="120" w:line="276" w:lineRule="auto"/>
        <w:jc w:val="right"/>
        <w:rPr>
          <w:rFonts w:ascii="Titillium" w:hAnsi="Titillium" w:cs="Times New Roman"/>
          <w:sz w:val="20"/>
          <w:szCs w:val="20"/>
        </w:rPr>
      </w:pPr>
    </w:p>
    <w:p w14:paraId="1DA76DC3" w14:textId="1F1AF1DF" w:rsidR="00A65F1E" w:rsidRPr="00A65F1E" w:rsidRDefault="00A65F1E" w:rsidP="00A65F1E">
      <w:pPr>
        <w:spacing w:before="120" w:line="276" w:lineRule="auto"/>
        <w:jc w:val="right"/>
        <w:rPr>
          <w:rFonts w:ascii="Titillium" w:hAnsi="Titillium" w:cs="Times New Roman"/>
          <w:sz w:val="20"/>
          <w:szCs w:val="20"/>
        </w:rPr>
      </w:pPr>
      <w:r w:rsidRPr="00C5488A">
        <w:rPr>
          <w:rFonts w:ascii="Titillium" w:hAnsi="Titillium" w:cs="Times New Roman"/>
          <w:sz w:val="20"/>
          <w:szCs w:val="20"/>
        </w:rPr>
        <w:t xml:space="preserve">Firma dei componenti OIV </w:t>
      </w:r>
    </w:p>
    <w:p w14:paraId="2B5F7189" w14:textId="77777777" w:rsidR="00A65F1E" w:rsidRPr="00B22AA2" w:rsidRDefault="00A65F1E" w:rsidP="00A65F1E">
      <w:pPr>
        <w:spacing w:line="276" w:lineRule="auto"/>
        <w:rPr>
          <w:rFonts w:ascii="Titillium" w:hAnsi="Titillium" w:cs="Times New Roman"/>
          <w:sz w:val="20"/>
          <w:szCs w:val="20"/>
        </w:rPr>
      </w:pPr>
      <w:r w:rsidRPr="00B22AA2">
        <w:rPr>
          <w:rFonts w:ascii="Titillium" w:hAnsi="Titillium" w:cs="Times New Roman"/>
          <w:sz w:val="20"/>
          <w:szCs w:val="20"/>
        </w:rPr>
        <w:t>Dott.ssa Anna Bonini</w:t>
      </w:r>
      <w:r w:rsidRPr="00B22AA2">
        <w:rPr>
          <w:rFonts w:ascii="Titillium" w:hAnsi="Titillium" w:cs="Times New Roman"/>
          <w:sz w:val="20"/>
          <w:szCs w:val="20"/>
        </w:rPr>
        <w:tab/>
      </w:r>
    </w:p>
    <w:p w14:paraId="07935882" w14:textId="77777777" w:rsidR="00A65F1E" w:rsidRPr="00B22AA2" w:rsidRDefault="00A65F1E" w:rsidP="00A65F1E">
      <w:pPr>
        <w:spacing w:line="276" w:lineRule="auto"/>
        <w:rPr>
          <w:rFonts w:ascii="Titillium" w:hAnsi="Titillium" w:cs="Times New Roman"/>
          <w:sz w:val="20"/>
          <w:szCs w:val="20"/>
        </w:rPr>
      </w:pPr>
    </w:p>
    <w:p w14:paraId="3AB72E7F" w14:textId="77777777" w:rsidR="00A65F1E" w:rsidRPr="00B22AA2" w:rsidRDefault="00A65F1E" w:rsidP="00A65F1E">
      <w:pPr>
        <w:spacing w:line="276" w:lineRule="auto"/>
        <w:rPr>
          <w:rFonts w:ascii="Titillium" w:hAnsi="Titillium" w:cs="Times New Roman"/>
          <w:sz w:val="20"/>
          <w:szCs w:val="20"/>
        </w:rPr>
      </w:pPr>
    </w:p>
    <w:p w14:paraId="207F8B9D" w14:textId="77777777" w:rsidR="00A65F1E" w:rsidRPr="00B22AA2" w:rsidRDefault="00A65F1E" w:rsidP="00A65F1E">
      <w:pPr>
        <w:spacing w:line="276" w:lineRule="auto"/>
        <w:rPr>
          <w:rFonts w:ascii="Titillium" w:hAnsi="Titillium" w:cs="Times New Roman"/>
          <w:sz w:val="20"/>
          <w:szCs w:val="20"/>
        </w:rPr>
      </w:pPr>
      <w:r w:rsidRPr="00B22AA2">
        <w:rPr>
          <w:rFonts w:ascii="Titillium" w:hAnsi="Titillium" w:cs="Times New Roman"/>
          <w:sz w:val="20"/>
          <w:szCs w:val="20"/>
        </w:rPr>
        <w:t>Dott.ssa Gabriella Pellegrini</w:t>
      </w:r>
    </w:p>
    <w:p w14:paraId="581BD8D4" w14:textId="77777777" w:rsidR="00A65F1E" w:rsidRPr="00B22AA2" w:rsidRDefault="00A65F1E" w:rsidP="00A65F1E">
      <w:pPr>
        <w:spacing w:line="276" w:lineRule="auto"/>
        <w:rPr>
          <w:rFonts w:ascii="Titillium" w:hAnsi="Titillium" w:cs="Times New Roman"/>
          <w:sz w:val="20"/>
          <w:szCs w:val="20"/>
        </w:rPr>
      </w:pPr>
    </w:p>
    <w:p w14:paraId="3F5A3234" w14:textId="79DA68B1" w:rsidR="00A65F1E" w:rsidRPr="00B22AA2" w:rsidRDefault="00A65F1E" w:rsidP="00A65F1E">
      <w:pPr>
        <w:spacing w:line="276" w:lineRule="auto"/>
        <w:rPr>
          <w:rFonts w:ascii="Titillium" w:hAnsi="Titillium" w:cs="Times New Roman"/>
          <w:sz w:val="20"/>
          <w:szCs w:val="20"/>
        </w:rPr>
      </w:pPr>
    </w:p>
    <w:p w14:paraId="0244D208" w14:textId="77777777" w:rsidR="00A65F1E" w:rsidRPr="00B22AA2" w:rsidRDefault="00A65F1E" w:rsidP="00A65F1E">
      <w:pPr>
        <w:spacing w:line="276" w:lineRule="auto"/>
        <w:rPr>
          <w:rFonts w:ascii="Titillium" w:hAnsi="Titillium" w:cs="Times New Roman"/>
          <w:sz w:val="20"/>
          <w:szCs w:val="20"/>
        </w:rPr>
      </w:pPr>
      <w:r w:rsidRPr="00B22AA2">
        <w:rPr>
          <w:rFonts w:ascii="Titillium" w:hAnsi="Titillium" w:cs="Times New Roman"/>
          <w:sz w:val="20"/>
          <w:szCs w:val="20"/>
        </w:rPr>
        <w:t>Dott. Alberto Romolini</w:t>
      </w:r>
    </w:p>
    <w:p w14:paraId="68F8C9B7" w14:textId="77777777" w:rsidR="00A65F1E" w:rsidRPr="00E858B6" w:rsidRDefault="00A65F1E">
      <w:pPr>
        <w:spacing w:line="360" w:lineRule="auto"/>
        <w:rPr>
          <w:rFonts w:ascii="Titillium" w:eastAsia="Calibri" w:hAnsi="Titillium" w:cs="Times New Roman"/>
          <w:color w:val="000000"/>
          <w:sz w:val="20"/>
          <w:szCs w:val="20"/>
          <w:lang w:eastAsia="en-US"/>
        </w:rPr>
      </w:pPr>
    </w:p>
    <w:sectPr w:rsidR="00A65F1E" w:rsidRPr="00E858B6" w:rsidSect="00A05FE3">
      <w:headerReference w:type="default" r:id="rId7"/>
      <w:pgSz w:w="11906" w:h="16838"/>
      <w:pgMar w:top="1417" w:right="1134" w:bottom="708" w:left="1134" w:header="708" w:footer="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208906" w14:textId="77777777" w:rsidR="00BD628A" w:rsidRDefault="00BD628A">
      <w:pPr>
        <w:spacing w:after="0" w:line="240" w:lineRule="auto"/>
      </w:pPr>
      <w:r>
        <w:separator/>
      </w:r>
    </w:p>
  </w:endnote>
  <w:endnote w:type="continuationSeparator" w:id="0">
    <w:p w14:paraId="10157DDA" w14:textId="77777777" w:rsidR="00BD628A" w:rsidRDefault="00BD62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0B858E" w14:textId="77777777" w:rsidR="00BD628A" w:rsidRDefault="00BD628A">
      <w:pPr>
        <w:spacing w:after="0" w:line="240" w:lineRule="auto"/>
      </w:pPr>
      <w:r>
        <w:separator/>
      </w:r>
    </w:p>
  </w:footnote>
  <w:footnote w:type="continuationSeparator" w:id="0">
    <w:p w14:paraId="7CD7489E" w14:textId="77777777" w:rsidR="00BD628A" w:rsidRDefault="00BD62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5AFDF" w14:textId="77777777" w:rsidR="0085206C" w:rsidRDefault="0085206C" w:rsidP="006E496C">
    <w:pPr>
      <w:pStyle w:val="Intestazione"/>
      <w:jc w:val="right"/>
      <w:rPr>
        <w:rFonts w:ascii="Garamond" w:hAnsi="Garamond"/>
        <w:b/>
      </w:rPr>
    </w:pPr>
    <w:r>
      <w:rPr>
        <w:noProof/>
        <w:lang w:eastAsia="it-IT"/>
      </w:rPr>
      <w:drawing>
        <wp:anchor distT="0" distB="0" distL="114300" distR="114300" simplePos="0" relativeHeight="251657728" behindDoc="0" locked="0" layoutInCell="1" allowOverlap="1" wp14:anchorId="67CDAED9" wp14:editId="58B9B2A4">
          <wp:simplePos x="0" y="0"/>
          <wp:positionH relativeFrom="margin">
            <wp:posOffset>-271780</wp:posOffset>
          </wp:positionH>
          <wp:positionV relativeFrom="topMargin">
            <wp:posOffset>453390</wp:posOffset>
          </wp:positionV>
          <wp:extent cx="2879725" cy="341630"/>
          <wp:effectExtent l="0" t="0" r="0" b="1270"/>
          <wp:wrapSquare wrapText="bothSides"/>
          <wp:docPr id="5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341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5F8DF7F" w14:textId="77777777" w:rsidR="0085206C" w:rsidRDefault="0085206C" w:rsidP="006E496C">
    <w:pPr>
      <w:pStyle w:val="Intestazione"/>
      <w:jc w:val="right"/>
      <w:rPr>
        <w:rFonts w:ascii="Garamond" w:hAnsi="Garamond"/>
        <w:b/>
      </w:rPr>
    </w:pPr>
  </w:p>
  <w:p w14:paraId="37A2CAAD" w14:textId="77777777" w:rsidR="0085206C" w:rsidRDefault="0085206C" w:rsidP="0085206C">
    <w:pPr>
      <w:pStyle w:val="Intestazione"/>
      <w:tabs>
        <w:tab w:val="left" w:pos="3878"/>
      </w:tabs>
      <w:rPr>
        <w:rFonts w:ascii="Garamond" w:hAnsi="Garamond"/>
        <w:b/>
      </w:rPr>
    </w:pPr>
    <w:r>
      <w:rPr>
        <w:rFonts w:ascii="Garamond" w:hAnsi="Garamond"/>
        <w:b/>
      </w:rPr>
      <w:tab/>
    </w:r>
    <w:r>
      <w:rPr>
        <w:rFonts w:ascii="Garamond" w:hAnsi="Garamond"/>
        <w:b/>
      </w:rPr>
      <w:tab/>
    </w:r>
  </w:p>
  <w:p w14:paraId="7B4629E2" w14:textId="77777777" w:rsidR="00C27B23" w:rsidRPr="000F2C0E" w:rsidRDefault="0048249A" w:rsidP="006E496C">
    <w:pPr>
      <w:pStyle w:val="Intestazione"/>
      <w:jc w:val="right"/>
      <w:rPr>
        <w:rFonts w:ascii="Titillium" w:hAnsi="Titillium" w:cs="Times New Roman"/>
        <w:b/>
        <w:sz w:val="20"/>
        <w:szCs w:val="20"/>
      </w:rPr>
    </w:pPr>
    <w:r w:rsidRPr="000F2C0E">
      <w:rPr>
        <w:rFonts w:ascii="Titillium" w:hAnsi="Titillium"/>
        <w:b/>
        <w:sz w:val="20"/>
        <w:szCs w:val="20"/>
      </w:rPr>
      <w:t xml:space="preserve">Allegato </w:t>
    </w:r>
    <w:r w:rsidR="00C6389E">
      <w:rPr>
        <w:rFonts w:ascii="Titillium" w:hAnsi="Titillium"/>
        <w:b/>
        <w:sz w:val="20"/>
        <w:szCs w:val="20"/>
      </w:rPr>
      <w:t>4</w:t>
    </w:r>
    <w:r w:rsidRPr="000F2C0E">
      <w:rPr>
        <w:rFonts w:ascii="Titillium" w:hAnsi="Titillium"/>
        <w:b/>
        <w:sz w:val="20"/>
        <w:szCs w:val="20"/>
      </w:rPr>
      <w:t xml:space="preserve"> alla </w:t>
    </w:r>
    <w:r w:rsidRPr="000F2C0E">
      <w:rPr>
        <w:rFonts w:ascii="Titillium" w:hAnsi="Titillium" w:cs="Times New Roman"/>
        <w:b/>
        <w:sz w:val="20"/>
        <w:szCs w:val="20"/>
      </w:rPr>
      <w:t>delibera</w:t>
    </w:r>
    <w:r w:rsidR="004833D5" w:rsidRPr="000F2C0E">
      <w:rPr>
        <w:rFonts w:ascii="Titillium" w:hAnsi="Titillium" w:cs="Times New Roman"/>
        <w:b/>
        <w:sz w:val="20"/>
        <w:szCs w:val="20"/>
      </w:rPr>
      <w:t xml:space="preserve"> ANAC</w:t>
    </w:r>
    <w:r w:rsidRPr="000F2C0E">
      <w:rPr>
        <w:rFonts w:ascii="Titillium" w:hAnsi="Titillium" w:cs="Times New Roman"/>
        <w:b/>
        <w:sz w:val="20"/>
        <w:szCs w:val="20"/>
      </w:rPr>
      <w:t xml:space="preserve"> n. </w:t>
    </w:r>
    <w:r w:rsidR="00C6389E">
      <w:rPr>
        <w:rFonts w:ascii="Titillium" w:hAnsi="Titillium" w:cs="Times New Roman"/>
        <w:b/>
        <w:sz w:val="20"/>
        <w:szCs w:val="20"/>
      </w:rPr>
      <w:t>201</w:t>
    </w:r>
    <w:r w:rsidRPr="000F2C0E">
      <w:rPr>
        <w:rFonts w:ascii="Titillium" w:hAnsi="Titillium" w:cs="Times New Roman"/>
        <w:b/>
        <w:sz w:val="20"/>
        <w:szCs w:val="20"/>
      </w:rPr>
      <w:t>/</w:t>
    </w:r>
    <w:r w:rsidR="009C05D1" w:rsidRPr="000F2C0E">
      <w:rPr>
        <w:rFonts w:ascii="Titillium" w:hAnsi="Titillium" w:cs="Times New Roman"/>
        <w:b/>
        <w:sz w:val="20"/>
        <w:szCs w:val="20"/>
      </w:rPr>
      <w:t>202</w:t>
    </w:r>
    <w:r w:rsidR="00C6389E">
      <w:rPr>
        <w:rFonts w:ascii="Titillium" w:hAnsi="Titillium" w:cs="Times New Roman"/>
        <w:b/>
        <w:sz w:val="20"/>
        <w:szCs w:val="20"/>
      </w:rPr>
      <w:t>2</w:t>
    </w:r>
  </w:p>
  <w:p w14:paraId="4DC1B78A" w14:textId="77777777" w:rsidR="0085206C" w:rsidRDefault="0085206C" w:rsidP="006E496C">
    <w:pPr>
      <w:pStyle w:val="Intestazione"/>
      <w:jc w:val="right"/>
      <w:rPr>
        <w:rFonts w:ascii="Garamond" w:hAnsi="Garamond" w:cs="Times New Roman"/>
        <w:b/>
      </w:rPr>
    </w:pPr>
  </w:p>
  <w:p w14:paraId="1BAB0D77" w14:textId="77777777" w:rsidR="0085206C" w:rsidRPr="006E496C" w:rsidRDefault="0085206C" w:rsidP="006E496C">
    <w:pPr>
      <w:pStyle w:val="Intestazione"/>
      <w:jc w:val="right"/>
      <w:rPr>
        <w:rFonts w:ascii="Garamond" w:hAnsi="Garamond" w:cs="Times New Roman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2B02D7"/>
    <w:multiLevelType w:val="multilevel"/>
    <w:tmpl w:val="5624384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1"/>
        </w:tabs>
        <w:ind w:left="2161" w:firstLine="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firstLine="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1"/>
        </w:tabs>
        <w:ind w:left="6481" w:firstLine="0"/>
      </w:pPr>
    </w:lvl>
  </w:abstractNum>
  <w:abstractNum w:abstractNumId="1" w15:restartNumberingAfterBreak="0">
    <w:nsid w:val="3E981BA1"/>
    <w:multiLevelType w:val="multilevel"/>
    <w:tmpl w:val="42B6B57E"/>
    <w:lvl w:ilvl="0">
      <w:start w:val="1"/>
      <w:numFmt w:val="none"/>
      <w:pStyle w:val="Titolo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54743015"/>
    <w:multiLevelType w:val="multilevel"/>
    <w:tmpl w:val="9568540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7B274FF9"/>
    <w:multiLevelType w:val="hybridMultilevel"/>
    <w:tmpl w:val="4CD022FC"/>
    <w:lvl w:ilvl="0" w:tplc="77CA1D2A">
      <w:start w:val="3"/>
      <w:numFmt w:val="bullet"/>
      <w:lvlText w:val="-"/>
      <w:lvlJc w:val="left"/>
      <w:pPr>
        <w:ind w:left="720" w:hanging="360"/>
      </w:pPr>
      <w:rPr>
        <w:rFonts w:ascii="Garamond" w:eastAsia="Times New Roman" w:hAnsi="Garamond" w:cs="Cambri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9855751">
    <w:abstractNumId w:val="1"/>
  </w:num>
  <w:num w:numId="2" w16cid:durableId="368801747">
    <w:abstractNumId w:val="0"/>
  </w:num>
  <w:num w:numId="3" w16cid:durableId="831869359">
    <w:abstractNumId w:val="2"/>
  </w:num>
  <w:num w:numId="4" w16cid:durableId="9694326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7B23"/>
    <w:rsid w:val="00040F20"/>
    <w:rsid w:val="0007476E"/>
    <w:rsid w:val="000D05C8"/>
    <w:rsid w:val="000F2C0E"/>
    <w:rsid w:val="0016468A"/>
    <w:rsid w:val="001B54F0"/>
    <w:rsid w:val="0024134D"/>
    <w:rsid w:val="00294922"/>
    <w:rsid w:val="002C572E"/>
    <w:rsid w:val="00350635"/>
    <w:rsid w:val="00351979"/>
    <w:rsid w:val="003C5331"/>
    <w:rsid w:val="003E1CF5"/>
    <w:rsid w:val="0041405A"/>
    <w:rsid w:val="00416AD0"/>
    <w:rsid w:val="00441748"/>
    <w:rsid w:val="004707EA"/>
    <w:rsid w:val="0048249A"/>
    <w:rsid w:val="004833D5"/>
    <w:rsid w:val="004F18CD"/>
    <w:rsid w:val="00560A68"/>
    <w:rsid w:val="005A1A11"/>
    <w:rsid w:val="005F092A"/>
    <w:rsid w:val="0060106A"/>
    <w:rsid w:val="006424D5"/>
    <w:rsid w:val="006473E4"/>
    <w:rsid w:val="006E496C"/>
    <w:rsid w:val="007052EA"/>
    <w:rsid w:val="00710ED9"/>
    <w:rsid w:val="00713BFD"/>
    <w:rsid w:val="00726988"/>
    <w:rsid w:val="007701EE"/>
    <w:rsid w:val="007A107C"/>
    <w:rsid w:val="00837860"/>
    <w:rsid w:val="0085206C"/>
    <w:rsid w:val="00861FE1"/>
    <w:rsid w:val="008A0378"/>
    <w:rsid w:val="00955140"/>
    <w:rsid w:val="009A5646"/>
    <w:rsid w:val="009C05D1"/>
    <w:rsid w:val="009C6FAC"/>
    <w:rsid w:val="00A05FE3"/>
    <w:rsid w:val="00A52DF7"/>
    <w:rsid w:val="00A65F1E"/>
    <w:rsid w:val="00A85905"/>
    <w:rsid w:val="00AE0382"/>
    <w:rsid w:val="00AF790D"/>
    <w:rsid w:val="00BD628A"/>
    <w:rsid w:val="00C24A02"/>
    <w:rsid w:val="00C27B23"/>
    <w:rsid w:val="00C32BE7"/>
    <w:rsid w:val="00C6389E"/>
    <w:rsid w:val="00C73547"/>
    <w:rsid w:val="00D0615F"/>
    <w:rsid w:val="00D27496"/>
    <w:rsid w:val="00D8171C"/>
    <w:rsid w:val="00DC2A21"/>
    <w:rsid w:val="00E8452E"/>
    <w:rsid w:val="00E858B6"/>
    <w:rsid w:val="00F34F98"/>
    <w:rsid w:val="00FC7906"/>
    <w:rsid w:val="00FF3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6B830"/>
  <w15:docId w15:val="{FFDA8CF8-8B88-4D65-8701-C48AB0AB6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rsid w:val="00A05FE3"/>
    <w:pPr>
      <w:keepNext/>
      <w:widowControl w:val="0"/>
      <w:pBdr>
        <w:top w:val="nil"/>
        <w:left w:val="nil"/>
        <w:bottom w:val="nil"/>
        <w:right w:val="nil"/>
      </w:pBdr>
      <w:suppressAutoHyphens/>
      <w:spacing w:after="120" w:line="100" w:lineRule="atLeast"/>
      <w:jc w:val="both"/>
    </w:pPr>
    <w:rPr>
      <w:rFonts w:ascii="Times New Roman" w:eastAsia="Times New Roman" w:hAnsi="Times New Roman" w:cs="Cambria"/>
      <w:sz w:val="24"/>
      <w:szCs w:val="24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notaapidipagina">
    <w:name w:val="footnote reference"/>
    <w:basedOn w:val="Carpredefinitoparagrafo"/>
    <w:rsid w:val="00A05FE3"/>
    <w:rPr>
      <w:position w:val="22"/>
      <w:sz w:val="14"/>
    </w:rPr>
  </w:style>
  <w:style w:type="character" w:customStyle="1" w:styleId="TestonotaapidipaginaCarattere">
    <w:name w:val="Testo nota a piè di pagina Carattere"/>
    <w:basedOn w:val="Carpredefinitoparagrafo"/>
    <w:rsid w:val="00A05FE3"/>
    <w:rPr>
      <w:rFonts w:ascii="Times New Roman" w:eastAsia="Times New Roman" w:hAnsi="Times New Roman" w:cs="Cambria"/>
      <w:sz w:val="20"/>
      <w:szCs w:val="20"/>
      <w:lang w:eastAsia="ar-SA"/>
    </w:rPr>
  </w:style>
  <w:style w:type="character" w:customStyle="1" w:styleId="TestonotaapidipaginaCarattere1">
    <w:name w:val="Testo nota a piè di pagina Carattere1"/>
    <w:basedOn w:val="Carpredefinitoparagrafo"/>
    <w:rsid w:val="00A05FE3"/>
    <w:rPr>
      <w:rFonts w:ascii="Times New Roman" w:eastAsia="Times New Roman" w:hAnsi="Times New Roman" w:cs="Cambria"/>
      <w:sz w:val="24"/>
      <w:szCs w:val="24"/>
      <w:lang w:eastAsia="ar-SA"/>
    </w:rPr>
  </w:style>
  <w:style w:type="character" w:customStyle="1" w:styleId="TitoloCarattere">
    <w:name w:val="Titolo Carattere"/>
    <w:basedOn w:val="Carpredefinitoparagrafo"/>
    <w:rsid w:val="00A05FE3"/>
    <w:rPr>
      <w:rFonts w:ascii="Times New Roman" w:eastAsia="Times New Roman" w:hAnsi="Times New Roman" w:cs="Times New Roman"/>
      <w:b/>
      <w:bCs/>
      <w:i/>
      <w:sz w:val="36"/>
      <w:szCs w:val="32"/>
      <w:lang w:eastAsia="ar-SA"/>
    </w:rPr>
  </w:style>
  <w:style w:type="character" w:customStyle="1" w:styleId="IntestazioneCarattere">
    <w:name w:val="Intestazione Carattere"/>
    <w:basedOn w:val="Carpredefinitoparagrafo"/>
    <w:rsid w:val="00A05FE3"/>
    <w:rPr>
      <w:rFonts w:ascii="Times New Roman" w:eastAsia="Times New Roman" w:hAnsi="Times New Roman" w:cs="Cambria"/>
      <w:sz w:val="24"/>
      <w:szCs w:val="24"/>
      <w:lang w:eastAsia="ar-SA"/>
    </w:rPr>
  </w:style>
  <w:style w:type="character" w:customStyle="1" w:styleId="PidipaginaCarattere">
    <w:name w:val="Piè di pagina Carattere"/>
    <w:basedOn w:val="Carpredefinitoparagrafo"/>
    <w:rsid w:val="00A05FE3"/>
    <w:rPr>
      <w:rFonts w:ascii="Times New Roman" w:eastAsia="Times New Roman" w:hAnsi="Times New Roman" w:cs="Cambria"/>
      <w:sz w:val="24"/>
      <w:szCs w:val="24"/>
      <w:lang w:eastAsia="ar-SA"/>
    </w:rPr>
  </w:style>
  <w:style w:type="character" w:styleId="Rimandocommento">
    <w:name w:val="annotation reference"/>
    <w:basedOn w:val="Carpredefinitoparagrafo"/>
    <w:rsid w:val="00A05FE3"/>
    <w:rPr>
      <w:sz w:val="16"/>
      <w:szCs w:val="16"/>
    </w:rPr>
  </w:style>
  <w:style w:type="character" w:customStyle="1" w:styleId="TestocommentoCarattere">
    <w:name w:val="Testo commento Carattere"/>
    <w:basedOn w:val="Carpredefinitoparagrafo"/>
    <w:rsid w:val="00A05FE3"/>
    <w:rPr>
      <w:rFonts w:ascii="Times New Roman" w:eastAsia="Times New Roman" w:hAnsi="Times New Roman" w:cs="Cambria"/>
      <w:sz w:val="20"/>
      <w:szCs w:val="20"/>
      <w:lang w:eastAsia="ar-SA"/>
    </w:rPr>
  </w:style>
  <w:style w:type="character" w:customStyle="1" w:styleId="SoggettocommentoCarattere">
    <w:name w:val="Soggetto commento Carattere"/>
    <w:basedOn w:val="TestocommentoCarattere"/>
    <w:rsid w:val="00A05FE3"/>
    <w:rPr>
      <w:rFonts w:ascii="Times New Roman" w:eastAsia="Times New Roman" w:hAnsi="Times New Roman" w:cs="Cambria"/>
      <w:b/>
      <w:bCs/>
      <w:sz w:val="20"/>
      <w:szCs w:val="20"/>
      <w:lang w:eastAsia="ar-SA"/>
    </w:rPr>
  </w:style>
  <w:style w:type="character" w:customStyle="1" w:styleId="TestofumettoCarattere">
    <w:name w:val="Testo fumetto Carattere"/>
    <w:basedOn w:val="Carpredefinitoparagrafo"/>
    <w:rsid w:val="00A05FE3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WWCharLFO13LVL1">
    <w:name w:val="WW_CharLFO13LVL1"/>
    <w:rsid w:val="00A05FE3"/>
    <w:rPr>
      <w:rFonts w:ascii="Times New Roman" w:eastAsia="Times New Roman" w:hAnsi="Times New Roman" w:cs="Times New Roman"/>
    </w:rPr>
  </w:style>
  <w:style w:type="character" w:customStyle="1" w:styleId="WWCharLFO13LVL2">
    <w:name w:val="WW_CharLFO13LVL2"/>
    <w:rsid w:val="00A05FE3"/>
    <w:rPr>
      <w:rFonts w:ascii="Courier New" w:hAnsi="Courier New" w:cs="Courier New"/>
    </w:rPr>
  </w:style>
  <w:style w:type="character" w:customStyle="1" w:styleId="WWCharLFO13LVL3">
    <w:name w:val="WW_CharLFO13LVL3"/>
    <w:rsid w:val="00A05FE3"/>
    <w:rPr>
      <w:rFonts w:ascii="Wingdings" w:hAnsi="Wingdings"/>
    </w:rPr>
  </w:style>
  <w:style w:type="character" w:customStyle="1" w:styleId="WWCharLFO13LVL4">
    <w:name w:val="WW_CharLFO13LVL4"/>
    <w:rsid w:val="00A05FE3"/>
    <w:rPr>
      <w:rFonts w:ascii="Symbol" w:hAnsi="Symbol"/>
    </w:rPr>
  </w:style>
  <w:style w:type="character" w:customStyle="1" w:styleId="WWCharLFO13LVL5">
    <w:name w:val="WW_CharLFO13LVL5"/>
    <w:rsid w:val="00A05FE3"/>
    <w:rPr>
      <w:rFonts w:ascii="Courier New" w:hAnsi="Courier New" w:cs="Courier New"/>
    </w:rPr>
  </w:style>
  <w:style w:type="character" w:customStyle="1" w:styleId="WWCharLFO13LVL6">
    <w:name w:val="WW_CharLFO13LVL6"/>
    <w:rsid w:val="00A05FE3"/>
    <w:rPr>
      <w:rFonts w:ascii="Wingdings" w:hAnsi="Wingdings"/>
    </w:rPr>
  </w:style>
  <w:style w:type="character" w:customStyle="1" w:styleId="WWCharLFO13LVL7">
    <w:name w:val="WW_CharLFO13LVL7"/>
    <w:rsid w:val="00A05FE3"/>
    <w:rPr>
      <w:rFonts w:ascii="Symbol" w:hAnsi="Symbol"/>
    </w:rPr>
  </w:style>
  <w:style w:type="character" w:customStyle="1" w:styleId="WWCharLFO13LVL8">
    <w:name w:val="WW_CharLFO13LVL8"/>
    <w:rsid w:val="00A05FE3"/>
    <w:rPr>
      <w:rFonts w:ascii="Courier New" w:hAnsi="Courier New" w:cs="Courier New"/>
    </w:rPr>
  </w:style>
  <w:style w:type="character" w:customStyle="1" w:styleId="WWCharLFO13LVL9">
    <w:name w:val="WW_CharLFO13LVL9"/>
    <w:rsid w:val="00A05FE3"/>
    <w:rPr>
      <w:rFonts w:ascii="Wingdings" w:hAnsi="Wingdings"/>
    </w:rPr>
  </w:style>
  <w:style w:type="character" w:customStyle="1" w:styleId="WWCharLFO15LVL1">
    <w:name w:val="WW_CharLFO15LVL1"/>
    <w:rsid w:val="00A05FE3"/>
    <w:rPr>
      <w:rFonts w:ascii="Times New Roman" w:eastAsia="Calibri" w:hAnsi="Times New Roman" w:cs="Times New Roman"/>
      <w:sz w:val="20"/>
    </w:rPr>
  </w:style>
  <w:style w:type="character" w:customStyle="1" w:styleId="WWCharLFO15LVL2">
    <w:name w:val="WW_CharLFO15LVL2"/>
    <w:rsid w:val="00A05FE3"/>
    <w:rPr>
      <w:rFonts w:ascii="Courier New" w:hAnsi="Courier New" w:cs="Courier New"/>
    </w:rPr>
  </w:style>
  <w:style w:type="character" w:customStyle="1" w:styleId="WWCharLFO15LVL3">
    <w:name w:val="WW_CharLFO15LVL3"/>
    <w:rsid w:val="00A05FE3"/>
    <w:rPr>
      <w:rFonts w:ascii="Wingdings" w:hAnsi="Wingdings"/>
    </w:rPr>
  </w:style>
  <w:style w:type="character" w:customStyle="1" w:styleId="WWCharLFO15LVL4">
    <w:name w:val="WW_CharLFO15LVL4"/>
    <w:rsid w:val="00A05FE3"/>
    <w:rPr>
      <w:rFonts w:ascii="Symbol" w:hAnsi="Symbol"/>
    </w:rPr>
  </w:style>
  <w:style w:type="character" w:customStyle="1" w:styleId="WWCharLFO15LVL5">
    <w:name w:val="WW_CharLFO15LVL5"/>
    <w:rsid w:val="00A05FE3"/>
    <w:rPr>
      <w:rFonts w:ascii="Courier New" w:hAnsi="Courier New" w:cs="Courier New"/>
    </w:rPr>
  </w:style>
  <w:style w:type="character" w:customStyle="1" w:styleId="WWCharLFO15LVL6">
    <w:name w:val="WW_CharLFO15LVL6"/>
    <w:rsid w:val="00A05FE3"/>
    <w:rPr>
      <w:rFonts w:ascii="Wingdings" w:hAnsi="Wingdings"/>
    </w:rPr>
  </w:style>
  <w:style w:type="character" w:customStyle="1" w:styleId="WWCharLFO15LVL7">
    <w:name w:val="WW_CharLFO15LVL7"/>
    <w:rsid w:val="00A05FE3"/>
    <w:rPr>
      <w:rFonts w:ascii="Symbol" w:hAnsi="Symbol"/>
    </w:rPr>
  </w:style>
  <w:style w:type="character" w:customStyle="1" w:styleId="WWCharLFO15LVL8">
    <w:name w:val="WW_CharLFO15LVL8"/>
    <w:rsid w:val="00A05FE3"/>
    <w:rPr>
      <w:rFonts w:ascii="Courier New" w:hAnsi="Courier New" w:cs="Courier New"/>
    </w:rPr>
  </w:style>
  <w:style w:type="character" w:customStyle="1" w:styleId="WWCharLFO15LVL9">
    <w:name w:val="WW_CharLFO15LVL9"/>
    <w:rsid w:val="00A05FE3"/>
    <w:rPr>
      <w:rFonts w:ascii="Wingdings" w:hAnsi="Wingdings"/>
    </w:rPr>
  </w:style>
  <w:style w:type="character" w:customStyle="1" w:styleId="Caratteredellanota">
    <w:name w:val="Carattere della nota"/>
    <w:rsid w:val="00A05FE3"/>
  </w:style>
  <w:style w:type="paragraph" w:styleId="Testonotaapidipagina">
    <w:name w:val="footnote text"/>
    <w:basedOn w:val="Normale"/>
    <w:rsid w:val="00A05FE3"/>
  </w:style>
  <w:style w:type="paragraph" w:styleId="Paragrafoelenco">
    <w:name w:val="List Paragraph"/>
    <w:basedOn w:val="Normale"/>
    <w:rsid w:val="00A05FE3"/>
    <w:pPr>
      <w:ind w:left="357" w:hanging="357"/>
    </w:pPr>
  </w:style>
  <w:style w:type="paragraph" w:styleId="Titolo">
    <w:name w:val="Title"/>
    <w:basedOn w:val="Normale"/>
    <w:next w:val="Normale"/>
    <w:autoRedefine/>
    <w:rsid w:val="00A05FE3"/>
    <w:pPr>
      <w:numPr>
        <w:numId w:val="1"/>
      </w:numPr>
      <w:spacing w:before="240" w:after="240"/>
      <w:jc w:val="center"/>
      <w:outlineLvl w:val="0"/>
    </w:pPr>
    <w:rPr>
      <w:rFonts w:cs="Times New Roman"/>
      <w:b/>
      <w:bCs/>
      <w:i/>
      <w:sz w:val="36"/>
      <w:szCs w:val="32"/>
    </w:rPr>
  </w:style>
  <w:style w:type="paragraph" w:customStyle="1" w:styleId="Corpodeltesto1">
    <w:name w:val="Corpo del testo1"/>
    <w:basedOn w:val="Normale"/>
    <w:rsid w:val="00A05FE3"/>
  </w:style>
  <w:style w:type="paragraph" w:styleId="Intestazione">
    <w:name w:val="header"/>
    <w:basedOn w:val="Normale"/>
    <w:rsid w:val="00A05FE3"/>
    <w:pPr>
      <w:tabs>
        <w:tab w:val="center" w:pos="4819"/>
        <w:tab w:val="right" w:pos="9638"/>
      </w:tabs>
      <w:spacing w:after="0"/>
    </w:pPr>
  </w:style>
  <w:style w:type="paragraph" w:styleId="Pidipagina">
    <w:name w:val="footer"/>
    <w:basedOn w:val="Normale"/>
    <w:rsid w:val="00A05FE3"/>
    <w:pPr>
      <w:tabs>
        <w:tab w:val="center" w:pos="4819"/>
        <w:tab w:val="right" w:pos="9638"/>
      </w:tabs>
      <w:spacing w:after="0"/>
    </w:pPr>
  </w:style>
  <w:style w:type="paragraph" w:customStyle="1" w:styleId="Default">
    <w:name w:val="Default"/>
    <w:rsid w:val="00A05FE3"/>
    <w:pPr>
      <w:keepNext/>
      <w:pBdr>
        <w:top w:val="nil"/>
        <w:left w:val="nil"/>
        <w:bottom w:val="nil"/>
        <w:right w:val="nil"/>
      </w:pBdr>
      <w:suppressAutoHyphens/>
      <w:autoSpaceDE w:val="0"/>
      <w:spacing w:after="0" w:line="100" w:lineRule="atLeast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styleId="Testocommento">
    <w:name w:val="annotation text"/>
    <w:basedOn w:val="Normale"/>
    <w:rsid w:val="00A05FE3"/>
    <w:rPr>
      <w:sz w:val="20"/>
      <w:szCs w:val="20"/>
    </w:rPr>
  </w:style>
  <w:style w:type="paragraph" w:styleId="Soggettocommento">
    <w:name w:val="annotation subject"/>
    <w:basedOn w:val="Testocommento"/>
    <w:next w:val="Testocommento"/>
    <w:rsid w:val="00A05FE3"/>
    <w:rPr>
      <w:b/>
      <w:bCs/>
    </w:rPr>
  </w:style>
  <w:style w:type="paragraph" w:styleId="Testofumetto">
    <w:name w:val="Balloon Text"/>
    <w:basedOn w:val="Normale"/>
    <w:rsid w:val="00A05FE3"/>
    <w:pPr>
      <w:spacing w:after="0"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i.siciliani</dc:creator>
  <cp:lastModifiedBy>Romolini Alberto</cp:lastModifiedBy>
  <cp:revision>2</cp:revision>
  <cp:lastPrinted>2018-02-28T15:30:00Z</cp:lastPrinted>
  <dcterms:created xsi:type="dcterms:W3CDTF">2022-06-08T12:52:00Z</dcterms:created>
  <dcterms:modified xsi:type="dcterms:W3CDTF">2022-06-08T12:52:00Z</dcterms:modified>
</cp:coreProperties>
</file>